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0" w:before="0" w:line="240" w:lineRule="auto"/>
        <w:ind w:firstLine="0" w:left="0" w:right="0"/>
        <w:jc w:val="center"/>
        <w:rPr>
          <w:rFonts w:ascii="XO Thames" w:hAnsi="XO Thames"/>
          <w:b w:val="1"/>
          <w:color w:val="000000"/>
          <w:sz w:val="32"/>
        </w:rPr>
      </w:pPr>
      <w:r>
        <w:rPr>
          <w:rFonts w:ascii="XO Thames" w:hAnsi="XO Thames"/>
          <w:b w:val="1"/>
          <w:color w:val="000000"/>
          <w:sz w:val="32"/>
        </w:rPr>
        <w:t>Основания, условия и порядок обжалования решений и действий государственных органов</w:t>
      </w:r>
    </w:p>
    <w:p w14:paraId="02000000">
      <w:pPr>
        <w:widowControl w:val="1"/>
        <w:spacing w:after="0" w:before="0" w:line="240" w:lineRule="auto"/>
        <w:ind w:firstLine="0" w:left="0" w:right="0"/>
        <w:jc w:val="center"/>
        <w:rPr>
          <w:rFonts w:ascii="XO Thames" w:hAnsi="XO Thames"/>
          <w:b w:val="1"/>
          <w:color w:val="000000"/>
          <w:sz w:val="32"/>
        </w:rPr>
      </w:pPr>
    </w:p>
    <w:p w14:paraId="03000000">
      <w:pPr>
        <w:spacing w:after="170" w:line="240" w:lineRule="auto"/>
        <w:ind w:firstLine="709"/>
      </w:pPr>
      <w:r>
        <w:t>В соответствии с частью 2 статьи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04000000">
      <w:pPr>
        <w:spacing w:after="170" w:line="240" w:lineRule="auto"/>
        <w:ind w:firstLine="709"/>
      </w:pPr>
      <w:r>
        <w:t>В соответствии с пунктом 1 статьи 4 Кодекса административного судопроизводства Российской Федерации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14:paraId="05000000">
      <w:pPr>
        <w:spacing w:after="170" w:line="240" w:lineRule="auto"/>
        <w:ind w:firstLine="709"/>
      </w:pPr>
      <w:r>
        <w:t>На основании положений статьи 1 Кодекса административного судопроизводства Российской Федерации Верховный Суд Российской Федерации, суды общей юрисдикции,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14:paraId="06000000">
      <w:pPr>
        <w:numPr>
          <w:numId w:val="1"/>
        </w:numPr>
        <w:spacing w:after="170"/>
        <w:ind w:firstLine="709" w:left="0"/>
      </w:pPr>
      <w:r>
        <w:t>об оспаривании нормативных правовых актов полностью или в части;</w:t>
      </w:r>
    </w:p>
    <w:p w14:paraId="07000000">
      <w:pPr>
        <w:numPr>
          <w:numId w:val="1"/>
        </w:numPr>
        <w:spacing w:after="170"/>
        <w:ind w:firstLine="709" w:left="0"/>
      </w:pPr>
      <w:r>
        <w:t>об оспаривании актов, содержащих разъяснения законодательства и обладающих нормативными свойствами;</w:t>
      </w:r>
    </w:p>
    <w:p w14:paraId="08000000">
      <w:pPr>
        <w:numPr>
          <w:numId w:val="1"/>
        </w:numPr>
        <w:spacing w:after="170"/>
        <w:ind w:firstLine="709" w:left="0"/>
      </w:pPr>
      <w:r>
        <w:t>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14:paraId="09000000">
      <w:pPr>
        <w:numPr>
          <w:numId w:val="1"/>
        </w:numPr>
        <w:spacing w:after="170"/>
        <w:ind w:firstLine="709" w:left="0"/>
      </w:pPr>
      <w:r>
        <w:t>о присуждении компенсации за нарушение условий содержания под стражей, содержания в исправительном учреждении;</w:t>
      </w:r>
    </w:p>
    <w:p w14:paraId="0A000000">
      <w:pPr>
        <w:numPr>
          <w:numId w:val="1"/>
        </w:numPr>
        <w:spacing w:after="170"/>
        <w:ind w:firstLine="709" w:left="0"/>
      </w:pPr>
      <w:r>
        <w:t>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14:paraId="0B000000">
      <w:pPr>
        <w:numPr>
          <w:numId w:val="1"/>
        </w:numPr>
        <w:spacing w:after="170"/>
        <w:ind w:firstLine="709" w:left="0"/>
      </w:pPr>
      <w:r>
        <w:t>об оспаривании решений, действий (бездействия) квалификационных коллегий судей;</w:t>
      </w:r>
    </w:p>
    <w:p w14:paraId="0C000000">
      <w:pPr>
        <w:numPr>
          <w:numId w:val="1"/>
        </w:numPr>
        <w:spacing w:after="170"/>
        <w:ind w:firstLine="709" w:left="0"/>
      </w:pPr>
      <w:r>
        <w:t>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14:paraId="0D000000">
      <w:pPr>
        <w:numPr>
          <w:numId w:val="1"/>
        </w:numPr>
        <w:spacing w:after="170"/>
        <w:ind w:firstLine="709" w:left="0"/>
      </w:pPr>
      <w:r>
        <w:t>о защите избирательных прав и права на участие в референдуме граждан Российской Федерации;</w:t>
      </w:r>
    </w:p>
    <w:p w14:paraId="0E000000">
      <w:pPr>
        <w:numPr>
          <w:numId w:val="1"/>
        </w:numPr>
        <w:spacing w:after="170"/>
        <w:ind w:firstLine="709" w:left="0"/>
      </w:pPr>
      <w:r>
        <w:t>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14:paraId="0F000000">
      <w:pPr>
        <w:spacing w:after="170"/>
        <w:ind w:firstLine="709"/>
      </w:pPr>
      <w:r>
        <w:t>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14:paraId="10000000">
      <w:pPr>
        <w:spacing w:after="170"/>
        <w:ind w:firstLine="709"/>
      </w:pPr>
      <w:r>
        <w:t>Производство по делам об оспаривании решений, действий (бездействия) органа государственной власти, иного органа, организации, наделенных отдельными государственными или иными публичными полномочиями, должностного лица, государственного служащего и рассмотрение административного дела по предъявленному административному исковому заявлению осуществляется в соответствии с главой 22 Кодекса административного судопроизводства Российской Федерации.</w:t>
      </w:r>
    </w:p>
    <w:p w14:paraId="11000000">
      <w:pPr>
        <w:spacing w:after="170"/>
        <w:ind w:firstLine="709"/>
      </w:pPr>
      <w:r>
        <w:t>Согласно положениям статьи 218 Кодекса административного судопроизводства Российской Федерации гражданин, организация, иные лица могут обратиться в суд с требованиями об оспаривании решений, действий (бездействия) органа государственной власти, иного органа, организации, наделенных отдельными государственными или иными публичными полномочиями должностного лица, государственного служащего, если полагают, что:</w:t>
      </w:r>
    </w:p>
    <w:p w14:paraId="12000000">
      <w:pPr>
        <w:numPr>
          <w:numId w:val="2"/>
        </w:numPr>
        <w:ind w:firstLine="709" w:left="0"/>
      </w:pPr>
      <w:r>
        <w:t>нарушены или оспорены их права, свободы и законные интересы;</w:t>
      </w:r>
    </w:p>
    <w:p w14:paraId="13000000">
      <w:pPr>
        <w:numPr>
          <w:numId w:val="2"/>
        </w:numPr>
        <w:ind w:firstLine="709" w:left="0"/>
      </w:pPr>
      <w:r>
        <w:t>созданы препятствия к осуществлению их прав, свобод и реализации законных интересов;</w:t>
      </w:r>
    </w:p>
    <w:p w14:paraId="14000000">
      <w:pPr>
        <w:numPr>
          <w:numId w:val="2"/>
        </w:numPr>
        <w:ind w:firstLine="709" w:left="0"/>
      </w:pPr>
      <w:r>
        <w:t>на них незаконно возложены какие-либо обязанности.</w:t>
      </w:r>
    </w:p>
    <w:p w14:paraId="15000000">
      <w:pPr>
        <w:spacing w:after="170"/>
        <w:ind w:firstLine="709"/>
      </w:pPr>
      <w: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16000000">
      <w:pPr>
        <w:spacing w:after="170"/>
        <w:ind w:firstLine="709"/>
      </w:pPr>
      <w: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14:paraId="17000000">
      <w:pPr>
        <w:spacing w:after="170"/>
        <w:ind w:firstLine="709"/>
      </w:pPr>
      <w:r>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14:paraId="18000000">
      <w:pPr>
        <w:spacing w:after="170"/>
        <w:ind w:firstLine="709"/>
      </w:pPr>
      <w:r>
        <w:t>В случаях, предусмотренных  Кодексом административного судопроизводства Российской Федерации,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14:paraId="19000000">
      <w:pPr>
        <w:spacing w:after="170"/>
        <w:ind w:firstLine="709"/>
      </w:pPr>
      <w:r>
        <w:t>Административные исковые заявления подаются в суд по правилам подсудности, установленным главой 2 Кодекса административного судопроизводства Российской Федерации:</w:t>
      </w:r>
    </w:p>
    <w:p w14:paraId="1A000000">
      <w:pPr>
        <w:numPr>
          <w:numId w:val="3"/>
        </w:numPr>
        <w:spacing w:after="170"/>
        <w:ind w:firstLine="709" w:left="0"/>
      </w:pPr>
      <w:r>
        <w:t>к органу государственной власти, иному государственному органу,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служащему - по месту нахождения органа, в котором указанные лица исполняют свои обязанности.</w:t>
      </w:r>
    </w:p>
    <w:p w14:paraId="1B000000">
      <w:pPr>
        <w:numPr>
          <w:numId w:val="3"/>
        </w:numPr>
        <w:spacing w:after="170"/>
        <w:ind w:firstLine="709" w:left="0"/>
      </w:pPr>
      <w:r>
        <w:t>в случае, если место нахождения органа государственной власти, иного государственного органа,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служащий.</w:t>
      </w:r>
    </w:p>
    <w:p w14:paraId="1C000000">
      <w:pPr>
        <w:spacing w:after="170"/>
        <w:ind w:firstLine="709"/>
      </w:pPr>
      <w:r>
        <w:t>Не подлежат рассмотрению в порядке, предусмотренном Кодексом административного судопроизводства Российской Федерации,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14:paraId="1D000000">
      <w:pPr>
        <w:spacing w:after="170"/>
        <w:ind w:firstLine="709"/>
      </w:pPr>
      <w:r>
        <w:t>В соответствии со статьей 219 Кодекса административного судопроизводства Российской Федерации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если Кодексом административного судопроизводства РФ не установлены иные сроки обращения с административным исковым заявлением в суд.</w:t>
      </w:r>
    </w:p>
    <w:p w14:paraId="1E000000">
      <w:pPr>
        <w:spacing w:after="170"/>
        <w:ind w:firstLine="709"/>
      </w:pPr>
      <w: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14:paraId="1F000000">
      <w:pPr>
        <w:spacing w:after="170"/>
        <w:ind w:firstLine="709"/>
      </w:pPr>
      <w:r>
        <w:t>Форма и содержание административного искового заявления должны соответствовать требованиям, предусмотренным частью 1, пунктами 1, 2, 8, 9 части 2, частями 6, 8, 9 статьи 125 и статьей 220 настоящего Кодекса.</w:t>
      </w:r>
    </w:p>
    <w:p w14:paraId="20000000">
      <w:pPr>
        <w:spacing w:after="170"/>
        <w:ind w:firstLine="709"/>
      </w:pPr>
      <w:r>
        <w:t>Согласно положениям статьи 223 Кодекса административного судопроизводства Российской Федерации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14:paraId="21000000">
      <w:pPr>
        <w:spacing w:after="170"/>
        <w:ind w:firstLine="709"/>
      </w:pPr>
      <w:r>
        <w:t>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14:paraId="22000000">
      <w:pPr>
        <w:spacing w:after="170"/>
        <w:ind w:firstLine="709"/>
      </w:pPr>
      <w:r>
        <w:t>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14:paraId="23000000">
      <w:pPr>
        <w:spacing w:after="170"/>
        <w:ind w:firstLine="709"/>
      </w:pPr>
      <w:r>
        <w:t>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14:paraId="24000000">
      <w:pPr>
        <w:spacing w:after="170"/>
        <w:ind w:firstLine="709"/>
      </w:pPr>
      <w:r>
        <w:t>Согласно нормам статьи 227 Кодекса административного судопроизводства Российской Федерации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настоящего Кодекса.</w:t>
      </w:r>
    </w:p>
    <w:p w14:paraId="25000000">
      <w:pPr>
        <w:spacing w:after="170"/>
        <w:ind w:firstLine="709"/>
      </w:pPr>
      <w: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14:paraId="26000000">
      <w:pPr>
        <w:numPr>
          <w:numId w:val="4"/>
        </w:numPr>
        <w:spacing w:after="170"/>
        <w:ind w:firstLine="709" w:left="0"/>
      </w:pPr>
      <w:r>
        <w:t>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14:paraId="27000000">
      <w:pPr>
        <w:numPr>
          <w:numId w:val="4"/>
        </w:numPr>
        <w:spacing w:after="170"/>
        <w:ind w:firstLine="709" w:left="0"/>
      </w:pPr>
      <w:r>
        <w:t>об отказе в удовлетворении заявленных требований о признании оспариваемых решения, действия (бездействия) незаконными.</w:t>
      </w:r>
    </w:p>
    <w:p w14:paraId="28000000">
      <w:pPr>
        <w:spacing w:after="170"/>
        <w:ind w:firstLine="709"/>
      </w:pPr>
      <w:r>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w:t>
      </w:r>
    </w:p>
    <w:p w14:paraId="29000000">
      <w:pPr>
        <w:spacing w:after="170"/>
        <w:ind w:firstLine="709"/>
      </w:pPr>
      <w:r>
        <w:t>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иного органа, организации, наделенных государственными или иными публичными полномочиями,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14:paraId="2A000000">
      <w:pPr>
        <w:spacing w:after="170"/>
        <w:ind w:firstLine="709"/>
      </w:pPr>
      <w:r>
        <w:t>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14:paraId="2B000000">
      <w:pPr>
        <w:spacing w:after="170"/>
        <w:ind w:firstLine="709"/>
      </w:pPr>
      <w:r>
        <w:t>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w:t>
      </w:r>
    </w:p>
    <w:p w14:paraId="2C000000">
      <w:pPr>
        <w:spacing w:after="170"/>
        <w:ind w:firstLine="709"/>
        <w:rPr>
          <w:rFonts w:ascii="XO Thames" w:hAnsi="XO Thames"/>
          <w:color w:val="454545"/>
          <w:sz w:val="28"/>
        </w:rPr>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r>
        <w:rPr>
          <w:rFonts w:ascii="XO Thames" w:hAnsi="XO Thames"/>
          <w:color w:val="000000"/>
          <w:sz w:val="28"/>
        </w:rPr>
        <w:t>.​</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suff w:val="tab"/>
      <w:lvlText w:val="%1)"/>
      <w:pPr>
        <w:widowControl w:val="1"/>
        <w:ind w:hanging="360" w:left="720"/>
      </w:pPr>
    </w:lvl>
    <w:lvl w:ilvl="1">
      <w:start w:val="1"/>
      <w:numFmt w:val="lowerLetter"/>
      <w:suff w:val="tab"/>
      <w:lvlText w:val="%2)"/>
      <w:pPr>
        <w:widowControl w:val="1"/>
        <w:ind w:hanging="360" w:left="1440"/>
      </w:pPr>
    </w:lvl>
    <w:lvl w:ilvl="2">
      <w:start w:val="1"/>
      <w:numFmt w:val="lowerRoman"/>
      <w:suff w:val="tab"/>
      <w:lvlText w:val="%3)"/>
      <w:lvlJc w:val="right"/>
      <w:pPr>
        <w:widowControl w:val="1"/>
        <w:ind w:hanging="360" w:left="2160"/>
      </w:pPr>
    </w:lvl>
    <w:lvl w:ilvl="3">
      <w:start w:val="1"/>
      <w:numFmt w:val="decimal"/>
      <w:suff w:val="tab"/>
      <w:lvlText w:val="%4)"/>
      <w:pPr>
        <w:widowControl w:val="1"/>
        <w:ind w:hanging="360" w:left="2880"/>
      </w:pPr>
    </w:lvl>
    <w:lvl w:ilvl="4">
      <w:start w:val="1"/>
      <w:numFmt w:val="lowerLetter"/>
      <w:suff w:val="tab"/>
      <w:lvlText w:val="%5)"/>
      <w:pPr>
        <w:widowControl w:val="1"/>
        <w:ind w:hanging="360" w:left="3600"/>
      </w:pPr>
    </w:lvl>
    <w:lvl w:ilvl="5">
      <w:start w:val="1"/>
      <w:numFmt w:val="lowerRoman"/>
      <w:suff w:val="tab"/>
      <w:lvlText w:val="%6)"/>
      <w:lvlJc w:val="right"/>
      <w:pPr>
        <w:widowControl w:val="1"/>
        <w:ind w:hanging="360" w:left="4320"/>
      </w:pPr>
    </w:lvl>
    <w:lvl w:ilvl="6">
      <w:start w:val="1"/>
      <w:numFmt w:val="decimal"/>
      <w:suff w:val="tab"/>
      <w:lvlText w:val="%7."/>
      <w:pPr>
        <w:widowControl w:val="1"/>
        <w:ind w:hanging="360" w:left="5040"/>
      </w:pPr>
    </w:lvl>
    <w:lvl w:ilvl="7">
      <w:start w:val="1"/>
      <w:numFmt w:val="lowerLetter"/>
      <w:suff w:val="tab"/>
      <w:lvlText w:val="%8."/>
      <w:pPr>
        <w:widowControl w:val="1"/>
        <w:ind w:hanging="360" w:left="5760"/>
      </w:pPr>
    </w:lvl>
    <w:lvl w:ilvl="8">
      <w:start w:val="1"/>
      <w:numFmt w:val="lowerRoman"/>
      <w:suff w:val="tab"/>
      <w:lvlText w:val="%9."/>
      <w:lvlJc w:val="right"/>
      <w:pPr>
        <w:widowControl w:val="1"/>
        <w:ind w:hanging="360" w:left="6480"/>
      </w:pPr>
    </w:lvl>
  </w:abstractNum>
  <w:abstractNum w:abstractNumId="1">
    <w:lvl w:ilvl="0">
      <w:numFmt w:val="bullet"/>
      <w:suff w:val="tab"/>
      <w:lvlText w:val="-"/>
      <w:pPr>
        <w:widowControl w:val="1"/>
        <w:ind w:hanging="360" w:left="720"/>
      </w:pPr>
      <w:rPr>
        <w:rFonts w:ascii="Calibri" w:hAnsi="Calibri"/>
      </w:rPr>
    </w:lvl>
    <w:lvl w:ilvl="1">
      <w:numFmt w:val="bullet"/>
      <w:suff w:val="tab"/>
      <w:lvlText w:val="o"/>
      <w:pPr>
        <w:widowControl w:val="1"/>
        <w:ind w:hanging="360" w:left="1440"/>
      </w:pPr>
      <w:rPr>
        <w:rFonts w:ascii="Courier New" w:hAnsi="Courier New"/>
      </w:rPr>
    </w:lvl>
    <w:lvl w:ilvl="2">
      <w:numFmt w:val="bullet"/>
      <w:suff w:val="tab"/>
      <w:lvlText w:val=""/>
      <w:pPr>
        <w:widowControl w:val="1"/>
        <w:ind w:hanging="360" w:left="2160"/>
      </w:pPr>
      <w:rPr>
        <w:rFonts w:ascii="Wingdings" w:hAnsi="Wingdings"/>
      </w:rPr>
    </w:lvl>
    <w:lvl w:ilvl="3">
      <w:numFmt w:val="bullet"/>
      <w:suff w:val="tab"/>
      <w:lvlText w:val="-"/>
      <w:pPr>
        <w:widowControl w:val="1"/>
        <w:ind w:hanging="360" w:left="2880"/>
      </w:pPr>
      <w:rPr>
        <w:rFonts w:ascii="Calibri" w:hAnsi="Calibri"/>
      </w:rPr>
    </w:lvl>
    <w:lvl w:ilvl="4">
      <w:numFmt w:val="bullet"/>
      <w:suff w:val="tab"/>
      <w:lvlText w:val="o"/>
      <w:pPr>
        <w:widowControl w:val="1"/>
        <w:ind w:hanging="360" w:left="3600"/>
      </w:pPr>
      <w:rPr>
        <w:rFonts w:ascii="Courier New" w:hAnsi="Courier New"/>
      </w:rPr>
    </w:lvl>
    <w:lvl w:ilvl="5">
      <w:numFmt w:val="bullet"/>
      <w:suff w:val="tab"/>
      <w:lvlText w:val=""/>
      <w:pPr>
        <w:widowControl w:val="1"/>
        <w:ind w:hanging="360" w:left="4320"/>
      </w:pPr>
      <w:rPr>
        <w:rFonts w:ascii="Wingdings" w:hAnsi="Wingdings"/>
      </w:rPr>
    </w:lvl>
    <w:lvl w:ilvl="6">
      <w:numFmt w:val="bullet"/>
      <w:suff w:val="tab"/>
      <w:lvlText w:val="-"/>
      <w:pPr>
        <w:widowControl w:val="1"/>
        <w:ind w:hanging="360" w:left="5040"/>
      </w:pPr>
      <w:rPr>
        <w:rFonts w:ascii="Calibri" w:hAnsi="Calibri"/>
      </w:rPr>
    </w:lvl>
    <w:lvl w:ilvl="7">
      <w:numFmt w:val="bullet"/>
      <w:suff w:val="tab"/>
      <w:lvlText w:val="o"/>
      <w:pPr>
        <w:widowControl w:val="1"/>
        <w:ind w:hanging="360" w:left="5760"/>
      </w:pPr>
      <w:rPr>
        <w:rFonts w:ascii="Courier New" w:hAnsi="Courier New"/>
      </w:rPr>
    </w:lvl>
    <w:lvl w:ilvl="8">
      <w:numFmt w:val="bullet"/>
      <w:suff w:val="tab"/>
      <w:lvlText w:val=""/>
      <w:pPr>
        <w:widowControl w:val="1"/>
        <w:ind w:hanging="360" w:left="6480"/>
      </w:pPr>
      <w:rPr>
        <w:rFonts w:ascii="Wingdings" w:hAnsi="Wingdings"/>
      </w:rPr>
    </w:lvl>
  </w:abstractNum>
  <w:abstractNum w:abstractNumId="2">
    <w:lvl w:ilvl="0">
      <w:numFmt w:val="bullet"/>
      <w:suff w:val="tab"/>
      <w:lvlText w:val="-"/>
      <w:pPr>
        <w:widowControl w:val="1"/>
        <w:ind w:hanging="360" w:left="720"/>
      </w:pPr>
      <w:rPr>
        <w:rFonts w:ascii="Calibri" w:hAnsi="Calibri"/>
      </w:rPr>
    </w:lvl>
    <w:lvl w:ilvl="1">
      <w:numFmt w:val="bullet"/>
      <w:suff w:val="tab"/>
      <w:lvlText w:val="o"/>
      <w:pPr>
        <w:widowControl w:val="1"/>
        <w:ind w:hanging="360" w:left="1440"/>
      </w:pPr>
      <w:rPr>
        <w:rFonts w:ascii="Courier New" w:hAnsi="Courier New"/>
      </w:rPr>
    </w:lvl>
    <w:lvl w:ilvl="2">
      <w:numFmt w:val="bullet"/>
      <w:suff w:val="tab"/>
      <w:lvlText w:val=""/>
      <w:pPr>
        <w:widowControl w:val="1"/>
        <w:ind w:hanging="360" w:left="2160"/>
      </w:pPr>
      <w:rPr>
        <w:rFonts w:ascii="Wingdings" w:hAnsi="Wingdings"/>
      </w:rPr>
    </w:lvl>
    <w:lvl w:ilvl="3">
      <w:numFmt w:val="bullet"/>
      <w:suff w:val="tab"/>
      <w:lvlText w:val="-"/>
      <w:pPr>
        <w:widowControl w:val="1"/>
        <w:ind w:hanging="360" w:left="2880"/>
      </w:pPr>
      <w:rPr>
        <w:rFonts w:ascii="Calibri" w:hAnsi="Calibri"/>
      </w:rPr>
    </w:lvl>
    <w:lvl w:ilvl="4">
      <w:numFmt w:val="bullet"/>
      <w:suff w:val="tab"/>
      <w:lvlText w:val="o"/>
      <w:pPr>
        <w:widowControl w:val="1"/>
        <w:ind w:hanging="360" w:left="3600"/>
      </w:pPr>
      <w:rPr>
        <w:rFonts w:ascii="Courier New" w:hAnsi="Courier New"/>
      </w:rPr>
    </w:lvl>
    <w:lvl w:ilvl="5">
      <w:numFmt w:val="bullet"/>
      <w:suff w:val="tab"/>
      <w:lvlText w:val=""/>
      <w:pPr>
        <w:widowControl w:val="1"/>
        <w:ind w:hanging="360" w:left="4320"/>
      </w:pPr>
      <w:rPr>
        <w:rFonts w:ascii="Wingdings" w:hAnsi="Wingdings"/>
      </w:rPr>
    </w:lvl>
    <w:lvl w:ilvl="6">
      <w:numFmt w:val="bullet"/>
      <w:suff w:val="tab"/>
      <w:lvlText w:val="-"/>
      <w:pPr>
        <w:widowControl w:val="1"/>
        <w:ind w:hanging="360" w:left="5040"/>
      </w:pPr>
      <w:rPr>
        <w:rFonts w:ascii="Calibri" w:hAnsi="Calibri"/>
      </w:rPr>
    </w:lvl>
    <w:lvl w:ilvl="7">
      <w:numFmt w:val="bullet"/>
      <w:suff w:val="tab"/>
      <w:lvlText w:val="o"/>
      <w:pPr>
        <w:widowControl w:val="1"/>
        <w:ind w:hanging="360" w:left="5760"/>
      </w:pPr>
      <w:rPr>
        <w:rFonts w:ascii="Courier New" w:hAnsi="Courier New"/>
      </w:rPr>
    </w:lvl>
    <w:lvl w:ilvl="8">
      <w:numFmt w:val="bullet"/>
      <w:suff w:val="tab"/>
      <w:lvlText w:val=""/>
      <w:pPr>
        <w:widowControl w:val="1"/>
        <w:ind w:hanging="360" w:left="6480"/>
      </w:pPr>
      <w:rPr>
        <w:rFonts w:ascii="Wingdings" w:hAnsi="Wingdings"/>
      </w:rPr>
    </w:lvl>
  </w:abstractNum>
  <w:abstractNum w:abstractNumId="3">
    <w:lvl w:ilvl="0">
      <w:start w:val="1"/>
      <w:numFmt w:val="decimal"/>
      <w:suff w:val="tab"/>
      <w:lvlText w:val="%1)"/>
      <w:pPr>
        <w:widowControl w:val="1"/>
        <w:ind w:hanging="360" w:left="720"/>
      </w:pPr>
    </w:lvl>
    <w:lvl w:ilvl="1">
      <w:start w:val="1"/>
      <w:numFmt w:val="lowerLetter"/>
      <w:suff w:val="tab"/>
      <w:lvlText w:val="%2)"/>
      <w:pPr>
        <w:widowControl w:val="1"/>
        <w:ind w:hanging="360" w:left="1440"/>
      </w:pPr>
    </w:lvl>
    <w:lvl w:ilvl="2">
      <w:start w:val="1"/>
      <w:numFmt w:val="lowerRoman"/>
      <w:suff w:val="tab"/>
      <w:lvlText w:val="%3)"/>
      <w:lvlJc w:val="right"/>
      <w:pPr>
        <w:widowControl w:val="1"/>
        <w:ind w:hanging="360" w:left="2160"/>
      </w:pPr>
    </w:lvl>
    <w:lvl w:ilvl="3">
      <w:start w:val="1"/>
      <w:numFmt w:val="decimal"/>
      <w:suff w:val="tab"/>
      <w:lvlText w:val="%4)"/>
      <w:pPr>
        <w:widowControl w:val="1"/>
        <w:ind w:hanging="360" w:left="2880"/>
      </w:pPr>
    </w:lvl>
    <w:lvl w:ilvl="4">
      <w:start w:val="1"/>
      <w:numFmt w:val="lowerLetter"/>
      <w:suff w:val="tab"/>
      <w:lvlText w:val="%5)"/>
      <w:pPr>
        <w:widowControl w:val="1"/>
        <w:ind w:hanging="360" w:left="3600"/>
      </w:pPr>
    </w:lvl>
    <w:lvl w:ilvl="5">
      <w:start w:val="1"/>
      <w:numFmt w:val="lowerRoman"/>
      <w:suff w:val="tab"/>
      <w:lvlText w:val="%6)"/>
      <w:lvlJc w:val="right"/>
      <w:pPr>
        <w:widowControl w:val="1"/>
        <w:ind w:hanging="360" w:left="4320"/>
      </w:pPr>
    </w:lvl>
    <w:lvl w:ilvl="6">
      <w:start w:val="1"/>
      <w:numFmt w:val="decimal"/>
      <w:suff w:val="tab"/>
      <w:lvlText w:val="%7."/>
      <w:pPr>
        <w:widowControl w:val="1"/>
        <w:ind w:hanging="360" w:left="5040"/>
      </w:pPr>
    </w:lvl>
    <w:lvl w:ilvl="7">
      <w:start w:val="1"/>
      <w:numFmt w:val="lowerLetter"/>
      <w:suff w:val="tab"/>
      <w:lvlText w:val="%8."/>
      <w:pPr>
        <w:widowControl w:val="1"/>
        <w:ind w:hanging="360" w:left="5760"/>
      </w:pPr>
    </w:lvl>
    <w:lvl w:ilvl="8">
      <w:start w:val="1"/>
      <w:numFmt w:val="lowerRoman"/>
      <w:suff w:val="tab"/>
      <w:lvlText w:val="%9."/>
      <w:lvlJc w:val="right"/>
      <w:pPr>
        <w:widowControl w:val="1"/>
        <w:ind w:hanging="36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widowControl w:val="1"/>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widowControl w:val="1"/>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widowControl w:val="1"/>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widowControl w:val="1"/>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widowControl w:val="1"/>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widowControl w:val="1"/>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widowControl w:val="1"/>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widowControl w:val="1"/>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widowControl w:val="1"/>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widowControl w:val="1"/>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widowControl w:val="1"/>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widowControl w:val="1"/>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widowControl w:val="1"/>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widowControl w:val="1"/>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widowControl w:val="1"/>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widowControl w:val="1"/>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widowControl w:val="1"/>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widowControl w:val="1"/>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widowControl w:val="1"/>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MyOffice-CoreFramework-Windows/36-1319.1058.9942.953.1@04494a3b551f3193b92c1c6a32fdda6152bfb270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2025-03-27T07:35:32Z</dcterms:created>
  <dcterms:modified xsi:type="dcterms:W3CDTF">2025-03-27T07:44:56Z</dcterms:modified>
</cp:coreProperties>
</file>